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pPr>
      <w:r>
        <w:rPr>
          <w:rFonts w:ascii="Times New Roman" w:hAnsi="Times New Roman"/>
          <w:outline w:val="0"/>
          <w:color w:val="000000"/>
          <w:sz w:val="24"/>
          <w:szCs w:val="24"/>
          <w:u w:color="000000"/>
          <w:rtl w:val="0"/>
          <w:lang w:val="en-US"/>
          <w14:textFill>
            <w14:solidFill>
              <w14:srgbClr w14:val="000000"/>
            </w14:solidFill>
          </w14:textFill>
        </w:rPr>
        <w:t xml:space="preserve">Taniah Thompsons  </w:t>
      </w:r>
    </w:p>
    <w:p>
      <w:pPr>
        <w:pStyle w:val="Body"/>
      </w:pPr>
      <w:r>
        <w:rPr>
          <w:rFonts w:ascii="Times New Roman" w:hAnsi="Times New Roman"/>
          <w:outline w:val="0"/>
          <w:color w:val="000000"/>
          <w:sz w:val="24"/>
          <w:szCs w:val="24"/>
          <w:u w:color="000000"/>
          <w:rtl w:val="0"/>
          <w:lang w:val="en-US"/>
          <w14:textFill>
            <w14:solidFill>
              <w14:srgbClr w14:val="000000"/>
            </w14:solidFill>
          </w14:textFill>
        </w:rPr>
        <w:t xml:space="preserve">Chemistry Major </w:t>
      </w:r>
    </w:p>
    <w:p>
      <w:pPr>
        <w:pStyle w:val="Body"/>
      </w:pPr>
      <w:r>
        <w:rPr>
          <w:rFonts w:ascii="Times New Roman" w:hAnsi="Times New Roman"/>
          <w:outline w:val="0"/>
          <w:color w:val="000000"/>
          <w:sz w:val="24"/>
          <w:szCs w:val="24"/>
          <w:u w:color="000000"/>
          <w:rtl w:val="0"/>
          <w:lang w:val="en-US"/>
          <w14:textFill>
            <w14:solidFill>
              <w14:srgbClr w14:val="000000"/>
            </w14:solidFill>
          </w14:textFill>
        </w:rPr>
        <w:t>Faculty Mentor</w:t>
      </w:r>
      <w:r>
        <w:rPr>
          <w:rFonts w:ascii="Times New Roman" w:hAnsi="Times New Roman" w:hint="default"/>
          <w:outline w:val="0"/>
          <w:color w:val="000000"/>
          <w:sz w:val="24"/>
          <w:szCs w:val="24"/>
          <w:u w:color="000000"/>
          <w:rtl w:val="0"/>
          <w:lang w:val="en-US"/>
          <w14:textFill>
            <w14:solidFill>
              <w14:srgbClr w14:val="000000"/>
            </w14:solidFill>
          </w14:textFill>
        </w:rPr>
        <w:t>’</w:t>
      </w:r>
      <w:r>
        <w:rPr>
          <w:rFonts w:ascii="Times New Roman" w:hAnsi="Times New Roman"/>
          <w:outline w:val="0"/>
          <w:color w:val="000000"/>
          <w:sz w:val="24"/>
          <w:szCs w:val="24"/>
          <w:u w:color="000000"/>
          <w:rtl w:val="0"/>
          <w:lang w:val="en-US"/>
          <w14:textFill>
            <w14:solidFill>
              <w14:srgbClr w14:val="000000"/>
            </w14:solidFill>
          </w14:textFill>
        </w:rPr>
        <w:t xml:space="preserve">s: Changyong Qin  </w:t>
      </w:r>
    </w:p>
    <w:p>
      <w:pPr>
        <w:pStyle w:val="Body"/>
      </w:pPr>
      <w:r>
        <w:rPr>
          <w:rFonts w:ascii="Times New Roman" w:hAnsi="Times New Roman"/>
          <w:outline w:val="0"/>
          <w:color w:val="000000"/>
          <w:sz w:val="24"/>
          <w:szCs w:val="24"/>
          <w:u w:color="000000"/>
          <w:rtl w:val="0"/>
          <w:lang w:val="en-US"/>
          <w14:textFill>
            <w14:solidFill>
              <w14:srgbClr w14:val="000000"/>
            </w14:solidFill>
          </w14:textFill>
        </w:rPr>
        <w:t xml:space="preserve">Presentation Category: Chemistry  </w:t>
      </w:r>
    </w:p>
    <w:p>
      <w:pPr>
        <w:pStyle w:val="Body"/>
      </w:pPr>
      <w:r>
        <w:rPr>
          <w:rFonts w:ascii="Times New Roman" w:hAnsi="Times New Roman"/>
          <w:outline w:val="0"/>
          <w:color w:val="000000"/>
          <w:sz w:val="24"/>
          <w:szCs w:val="24"/>
          <w:u w:color="000000"/>
          <w:rtl w:val="0"/>
          <w:lang w:val="en-US"/>
          <w14:textFill>
            <w14:solidFill>
              <w14:srgbClr w14:val="000000"/>
            </w14:solidFill>
          </w14:textFill>
        </w:rPr>
        <w:t xml:space="preserve">Poster Presentation </w:t>
      </w:r>
    </w:p>
    <w:p>
      <w:pPr>
        <w:pStyle w:val="Body"/>
      </w:pPr>
      <w:r>
        <w:rPr>
          <w:rFonts w:ascii="Times New Roman" w:hAnsi="Times New Roman"/>
          <w:outline w:val="0"/>
          <w:color w:val="000000"/>
          <w:sz w:val="24"/>
          <w:szCs w:val="24"/>
          <w:u w:color="000000"/>
          <w:rtl w:val="0"/>
          <w:lang w:val="en-US"/>
          <w14:textFill>
            <w14:solidFill>
              <w14:srgbClr w14:val="000000"/>
            </w14:solidFill>
          </w14:textFill>
        </w:rPr>
        <w:t xml:space="preserve"> </w:t>
      </w:r>
    </w:p>
    <w:p>
      <w:pPr>
        <w:pStyle w:val="Body"/>
        <w:jc w:val="center"/>
      </w:pPr>
      <w:r>
        <w:rPr>
          <w:rFonts w:ascii="Times New Roman" w:hAnsi="Times New Roman"/>
          <w:outline w:val="0"/>
          <w:color w:val="000000"/>
          <w:sz w:val="24"/>
          <w:szCs w:val="24"/>
          <w:u w:color="000000"/>
          <w:rtl w:val="0"/>
          <w:lang w:val="en-US"/>
          <w14:textFill>
            <w14:solidFill>
              <w14:srgbClr w14:val="000000"/>
            </w14:solidFill>
          </w14:textFill>
        </w:rPr>
        <w:t xml:space="preserve">Study of Water Dissociation in Molten Carbonate by HF Method  </w:t>
      </w:r>
    </w:p>
    <w:p>
      <w:pPr>
        <w:pStyle w:val="Body"/>
        <w:ind w:firstLine="720"/>
      </w:pPr>
      <w:r>
        <w:rPr>
          <w:rFonts w:ascii="Times New Roman" w:hAnsi="Times New Roman"/>
          <w:outline w:val="0"/>
          <w:color w:val="000000"/>
          <w:sz w:val="24"/>
          <w:szCs w:val="24"/>
          <w:u w:color="000000"/>
          <w:rtl w:val="0"/>
          <w:lang w:val="en-US"/>
          <w14:textFill>
            <w14:solidFill>
              <w14:srgbClr w14:val="000000"/>
            </w14:solidFill>
          </w14:textFill>
        </w:rPr>
        <w:t>This study was prompted to understand the reaction between water and carbonate including water dissociation in molten carbonate with or without the presence of oxygen. Molten carbonate is a fixed mixture of three compounds such as Li</w:t>
      </w:r>
      <w:r>
        <w:rPr>
          <w:rFonts w:ascii="Times New Roman" w:hAnsi="Times New Roman"/>
          <w:outline w:val="0"/>
          <w:color w:val="000000"/>
          <w:sz w:val="24"/>
          <w:szCs w:val="24"/>
          <w:u w:color="000000"/>
          <w:vertAlign w:val="subscript"/>
          <w:rtl w:val="0"/>
          <w:lang w:val="en-US"/>
          <w14:textFill>
            <w14:solidFill>
              <w14:srgbClr w14:val="000000"/>
            </w14:solidFill>
          </w14:textFill>
        </w:rPr>
        <w:t>2</w:t>
      </w:r>
      <w:r>
        <w:rPr>
          <w:rFonts w:ascii="Times New Roman" w:hAnsi="Times New Roman"/>
          <w:outline w:val="0"/>
          <w:color w:val="000000"/>
          <w:sz w:val="24"/>
          <w:szCs w:val="24"/>
          <w:u w:color="000000"/>
          <w:rtl w:val="0"/>
          <w:lang w:val="en-US"/>
          <w14:textFill>
            <w14:solidFill>
              <w14:srgbClr w14:val="000000"/>
            </w14:solidFill>
          </w14:textFill>
        </w:rPr>
        <w:t>CO</w:t>
      </w:r>
      <w:r>
        <w:rPr>
          <w:rFonts w:ascii="Times New Roman" w:hAnsi="Times New Roman"/>
          <w:outline w:val="0"/>
          <w:color w:val="000000"/>
          <w:sz w:val="24"/>
          <w:szCs w:val="24"/>
          <w:u w:color="000000"/>
          <w:vertAlign w:val="subscript"/>
          <w:rtl w:val="0"/>
          <w:lang w:val="en-US"/>
          <w14:textFill>
            <w14:solidFill>
              <w14:srgbClr w14:val="000000"/>
            </w14:solidFill>
          </w14:textFill>
        </w:rPr>
        <w:t>3</w:t>
      </w:r>
      <w:r>
        <w:rPr>
          <w:rFonts w:ascii="Times New Roman" w:hAnsi="Times New Roman"/>
          <w:outline w:val="0"/>
          <w:color w:val="000000"/>
          <w:sz w:val="24"/>
          <w:szCs w:val="24"/>
          <w:u w:color="000000"/>
          <w:rtl w:val="0"/>
          <w:lang w:val="en-US"/>
          <w14:textFill>
            <w14:solidFill>
              <w14:srgbClr w14:val="000000"/>
            </w14:solidFill>
          </w14:textFill>
        </w:rPr>
        <w:t>, Na</w:t>
      </w:r>
      <w:r>
        <w:rPr>
          <w:rFonts w:ascii="Times New Roman" w:hAnsi="Times New Roman"/>
          <w:outline w:val="0"/>
          <w:color w:val="000000"/>
          <w:sz w:val="24"/>
          <w:szCs w:val="24"/>
          <w:u w:color="000000"/>
          <w:vertAlign w:val="subscript"/>
          <w:rtl w:val="0"/>
          <w:lang w:val="en-US"/>
          <w14:textFill>
            <w14:solidFill>
              <w14:srgbClr w14:val="000000"/>
            </w14:solidFill>
          </w14:textFill>
        </w:rPr>
        <w:t>2</w:t>
      </w:r>
      <w:r>
        <w:rPr>
          <w:rFonts w:ascii="Times New Roman" w:hAnsi="Times New Roman"/>
          <w:outline w:val="0"/>
          <w:color w:val="000000"/>
          <w:sz w:val="24"/>
          <w:szCs w:val="24"/>
          <w:u w:color="000000"/>
          <w:rtl w:val="0"/>
          <w:lang w:val="en-US"/>
          <w14:textFill>
            <w14:solidFill>
              <w14:srgbClr w14:val="000000"/>
            </w14:solidFill>
          </w14:textFill>
        </w:rPr>
        <w:t>CO</w:t>
      </w:r>
      <w:r>
        <w:rPr>
          <w:rFonts w:ascii="Times New Roman" w:hAnsi="Times New Roman"/>
          <w:outline w:val="0"/>
          <w:color w:val="000000"/>
          <w:sz w:val="24"/>
          <w:szCs w:val="24"/>
          <w:u w:color="000000"/>
          <w:vertAlign w:val="subscript"/>
          <w:rtl w:val="0"/>
          <w:lang w:val="en-US"/>
          <w14:textFill>
            <w14:solidFill>
              <w14:srgbClr w14:val="000000"/>
            </w14:solidFill>
          </w14:textFill>
        </w:rPr>
        <w:t>3</w:t>
      </w:r>
      <w:r>
        <w:rPr>
          <w:rFonts w:ascii="Times New Roman" w:hAnsi="Times New Roman"/>
          <w:outline w:val="0"/>
          <w:color w:val="000000"/>
          <w:sz w:val="24"/>
          <w:szCs w:val="24"/>
          <w:u w:color="000000"/>
          <w:rtl w:val="0"/>
          <w:lang w:val="en-US"/>
          <w14:textFill>
            <w14:solidFill>
              <w14:srgbClr w14:val="000000"/>
            </w14:solidFill>
          </w14:textFill>
        </w:rPr>
        <w:t>, and K</w:t>
      </w:r>
      <w:r>
        <w:rPr>
          <w:rFonts w:ascii="Times New Roman" w:hAnsi="Times New Roman"/>
          <w:outline w:val="0"/>
          <w:color w:val="000000"/>
          <w:sz w:val="24"/>
          <w:szCs w:val="24"/>
          <w:u w:color="000000"/>
          <w:vertAlign w:val="subscript"/>
          <w:rtl w:val="0"/>
          <w:lang w:val="en-US"/>
          <w14:textFill>
            <w14:solidFill>
              <w14:srgbClr w14:val="000000"/>
            </w14:solidFill>
          </w14:textFill>
        </w:rPr>
        <w:t>2</w:t>
      </w:r>
      <w:r>
        <w:rPr>
          <w:rFonts w:ascii="Times New Roman" w:hAnsi="Times New Roman"/>
          <w:outline w:val="0"/>
          <w:color w:val="000000"/>
          <w:sz w:val="24"/>
          <w:szCs w:val="24"/>
          <w:u w:color="000000"/>
          <w:rtl w:val="0"/>
          <w:lang w:val="en-US"/>
          <w14:textFill>
            <w14:solidFill>
              <w14:srgbClr w14:val="000000"/>
            </w14:solidFill>
          </w14:textFill>
        </w:rPr>
        <w:t>CO</w:t>
      </w:r>
      <w:r>
        <w:rPr>
          <w:rFonts w:ascii="Times New Roman" w:hAnsi="Times New Roman"/>
          <w:outline w:val="0"/>
          <w:color w:val="000000"/>
          <w:sz w:val="24"/>
          <w:szCs w:val="24"/>
          <w:u w:color="000000"/>
          <w:vertAlign w:val="subscript"/>
          <w:rtl w:val="0"/>
          <w:lang w:val="en-US"/>
          <w14:textFill>
            <w14:solidFill>
              <w14:srgbClr w14:val="000000"/>
            </w14:solidFill>
          </w14:textFill>
        </w:rPr>
        <w:t>3</w:t>
      </w:r>
      <w:r>
        <w:rPr>
          <w:rFonts w:ascii="Times New Roman" w:hAnsi="Times New Roman"/>
          <w:outline w:val="0"/>
          <w:color w:val="000000"/>
          <w:sz w:val="24"/>
          <w:szCs w:val="24"/>
          <w:u w:color="000000"/>
          <w:rtl w:val="0"/>
          <w:lang w:val="en-US"/>
          <w14:textFill>
            <w14:solidFill>
              <w14:srgbClr w14:val="000000"/>
            </w14:solidFill>
          </w14:textFill>
        </w:rPr>
        <w:t>. This mixture was adopted into research because of its melting point of about three hundred and ninety-eight degrees Celsius as an electrolyte in fuel cells. In the past, oxygen dissociation and migration has been studied by Dr. Qin</w:t>
      </w:r>
      <w:r>
        <w:rPr>
          <w:rFonts w:ascii="Times New Roman" w:hAnsi="Times New Roman" w:hint="default"/>
          <w:outline w:val="0"/>
          <w:color w:val="000000"/>
          <w:sz w:val="24"/>
          <w:szCs w:val="24"/>
          <w:u w:color="000000"/>
          <w:rtl w:val="0"/>
          <w:lang w:val="en-US"/>
          <w14:textFill>
            <w14:solidFill>
              <w14:srgbClr w14:val="000000"/>
            </w14:solidFill>
          </w14:textFill>
        </w:rPr>
        <w:t>’</w:t>
      </w:r>
      <w:r>
        <w:rPr>
          <w:rFonts w:ascii="Times New Roman" w:hAnsi="Times New Roman"/>
          <w:outline w:val="0"/>
          <w:color w:val="000000"/>
          <w:sz w:val="24"/>
          <w:szCs w:val="24"/>
          <w:u w:color="000000"/>
          <w:rtl w:val="0"/>
          <w:lang w:val="en-US"/>
          <w14:textFill>
            <w14:solidFill>
              <w14:srgbClr w14:val="000000"/>
            </w14:solidFill>
          </w14:textFill>
        </w:rPr>
        <w:t>s group, but the role of water in the reaction or process was never examined. Molecular modeling programs such as Gauss view 6.0 and Gaussian 16 were two of the main methodologies used during this study, with this we were able to create cluster models and determine the enthalpy and activation energies of the two different reaction pathways. H</w:t>
      </w:r>
      <w:r>
        <w:rPr>
          <w:rFonts w:ascii="Times New Roman" w:hAnsi="Times New Roman"/>
          <w:outline w:val="0"/>
          <w:color w:val="000000"/>
          <w:sz w:val="24"/>
          <w:szCs w:val="24"/>
          <w:u w:color="000000"/>
          <w:vertAlign w:val="subscript"/>
          <w:rtl w:val="0"/>
          <w:lang w:val="en-US"/>
          <w14:textFill>
            <w14:solidFill>
              <w14:srgbClr w14:val="000000"/>
            </w14:solidFill>
          </w14:textFill>
        </w:rPr>
        <w:t>2</w:t>
      </w:r>
      <w:r>
        <w:rPr>
          <w:rFonts w:ascii="Times New Roman" w:hAnsi="Times New Roman"/>
          <w:outline w:val="0"/>
          <w:color w:val="000000"/>
          <w:sz w:val="24"/>
          <w:szCs w:val="24"/>
          <w:u w:color="000000"/>
          <w:rtl w:val="0"/>
          <w:lang w:val="en-US"/>
          <w14:textFill>
            <w14:solidFill>
              <w14:srgbClr w14:val="000000"/>
            </w14:solidFill>
          </w14:textFill>
        </w:rPr>
        <w:t>O + CO</w:t>
      </w:r>
      <w:r>
        <w:rPr>
          <w:rFonts w:ascii="Times New Roman" w:hAnsi="Times New Roman"/>
          <w:outline w:val="0"/>
          <w:color w:val="000000"/>
          <w:sz w:val="24"/>
          <w:szCs w:val="24"/>
          <w:u w:color="000000"/>
          <w:vertAlign w:val="subscript"/>
          <w:rtl w:val="0"/>
          <w:lang w:val="en-US"/>
          <w14:textFill>
            <w14:solidFill>
              <w14:srgbClr w14:val="000000"/>
            </w14:solidFill>
          </w14:textFill>
        </w:rPr>
        <w:t>3</w:t>
      </w:r>
      <w:r>
        <w:rPr>
          <w:rFonts w:ascii="Times New Roman" w:hAnsi="Times New Roman"/>
          <w:outline w:val="0"/>
          <w:color w:val="000000"/>
          <w:sz w:val="24"/>
          <w:szCs w:val="24"/>
          <w:u w:color="000000"/>
          <w:vertAlign w:val="superscript"/>
          <w:rtl w:val="0"/>
          <w:lang w:val="en-US"/>
          <w14:textFill>
            <w14:solidFill>
              <w14:srgbClr w14:val="000000"/>
            </w14:solidFill>
          </w14:textFill>
        </w:rPr>
        <w:t>2-</w:t>
      </w:r>
      <w:r>
        <w:rPr>
          <w:rFonts w:ascii="Times New Roman" w:hAnsi="Times New Roman"/>
          <w:outline w:val="0"/>
          <w:color w:val="000000"/>
          <w:sz w:val="24"/>
          <w:szCs w:val="24"/>
          <w:u w:color="000000"/>
          <w:rtl w:val="0"/>
          <w:lang w:val="en-US"/>
          <w14:textFill>
            <w14:solidFill>
              <w14:srgbClr w14:val="000000"/>
            </w14:solidFill>
          </w14:textFill>
        </w:rPr>
        <w:t xml:space="preserve"> </w:t>
      </w:r>
      <w:r>
        <w:rPr>
          <w:rFonts w:ascii="Times New Roman" w:hAnsi="Times New Roman" w:hint="default"/>
          <w:sz w:val="24"/>
          <w:szCs w:val="24"/>
          <w:rtl w:val="0"/>
          <w:lang w:val="en-US"/>
        </w:rPr>
        <w:t>—</w:t>
      </w:r>
      <w:r>
        <w:rPr>
          <w:rFonts w:ascii="Times New Roman" w:hAnsi="Times New Roman"/>
          <w:sz w:val="24"/>
          <w:szCs w:val="24"/>
          <w:rtl w:val="0"/>
          <w:lang w:val="de-DE"/>
        </w:rPr>
        <w:t>&gt; HO</w:t>
      </w:r>
      <w:r>
        <w:rPr>
          <w:rFonts w:ascii="Times New Roman" w:hAnsi="Times New Roman"/>
          <w:sz w:val="24"/>
          <w:szCs w:val="24"/>
          <w:vertAlign w:val="superscript"/>
          <w:rtl w:val="0"/>
        </w:rPr>
        <w:t>-</w:t>
      </w:r>
      <w:r>
        <w:rPr>
          <w:rFonts w:ascii="Times New Roman" w:hAnsi="Times New Roman"/>
          <w:sz w:val="24"/>
          <w:szCs w:val="24"/>
          <w:rtl w:val="0"/>
        </w:rPr>
        <w:t xml:space="preserve"> + CO</w:t>
      </w:r>
      <w:r>
        <w:rPr>
          <w:rFonts w:ascii="Times New Roman" w:hAnsi="Times New Roman"/>
          <w:sz w:val="24"/>
          <w:szCs w:val="24"/>
          <w:vertAlign w:val="subscript"/>
          <w:rtl w:val="0"/>
        </w:rPr>
        <w:t>3</w:t>
      </w:r>
      <w:r>
        <w:rPr>
          <w:rFonts w:ascii="Times New Roman" w:hAnsi="Times New Roman"/>
          <w:sz w:val="24"/>
          <w:szCs w:val="24"/>
          <w:vertAlign w:val="superscript"/>
          <w:rtl w:val="0"/>
        </w:rPr>
        <w:t xml:space="preserve">-   </w:t>
      </w:r>
      <w:r>
        <w:rPr>
          <w:rFonts w:ascii="Times New Roman" w:hAnsi="Times New Roman"/>
          <w:sz w:val="24"/>
          <w:szCs w:val="24"/>
          <w:rtl w:val="0"/>
          <w:lang w:val="en-US"/>
        </w:rPr>
        <w:t>is the reaction for pathway one, and H</w:t>
      </w:r>
      <w:r>
        <w:rPr>
          <w:rFonts w:ascii="Times New Roman" w:hAnsi="Times New Roman"/>
          <w:sz w:val="24"/>
          <w:szCs w:val="24"/>
          <w:vertAlign w:val="subscript"/>
          <w:rtl w:val="0"/>
        </w:rPr>
        <w:t>2</w:t>
      </w:r>
      <w:r>
        <w:rPr>
          <w:rFonts w:ascii="Times New Roman" w:hAnsi="Times New Roman"/>
          <w:sz w:val="24"/>
          <w:szCs w:val="24"/>
          <w:rtl w:val="0"/>
        </w:rPr>
        <w:t>O + CO</w:t>
      </w:r>
      <w:r>
        <w:rPr>
          <w:rFonts w:ascii="Times New Roman" w:hAnsi="Times New Roman"/>
          <w:sz w:val="24"/>
          <w:szCs w:val="24"/>
          <w:vertAlign w:val="subscript"/>
          <w:rtl w:val="0"/>
        </w:rPr>
        <w:t>4</w:t>
      </w:r>
      <w:r>
        <w:rPr>
          <w:rFonts w:ascii="Times New Roman" w:hAnsi="Times New Roman"/>
          <w:sz w:val="24"/>
          <w:szCs w:val="24"/>
          <w:vertAlign w:val="superscript"/>
          <w:rtl w:val="0"/>
        </w:rPr>
        <w:t xml:space="preserve">2- </w:t>
      </w:r>
      <w:r>
        <w:rPr>
          <w:rFonts w:ascii="Times New Roman" w:hAnsi="Times New Roman" w:hint="default"/>
          <w:sz w:val="24"/>
          <w:szCs w:val="24"/>
          <w:rtl w:val="0"/>
          <w:lang w:val="en-US"/>
        </w:rPr>
        <w:t>—</w:t>
      </w:r>
      <w:r>
        <w:rPr>
          <w:rFonts w:ascii="Times New Roman" w:hAnsi="Times New Roman"/>
          <w:sz w:val="24"/>
          <w:szCs w:val="24"/>
          <w:rtl w:val="0"/>
          <w:lang w:val="de-DE"/>
        </w:rPr>
        <w:t>&gt; HO</w:t>
      </w:r>
      <w:r>
        <w:rPr>
          <w:rFonts w:ascii="Times New Roman" w:hAnsi="Times New Roman"/>
          <w:sz w:val="24"/>
          <w:szCs w:val="24"/>
          <w:vertAlign w:val="superscript"/>
          <w:rtl w:val="0"/>
        </w:rPr>
        <w:t>-</w:t>
      </w:r>
      <w:r>
        <w:rPr>
          <w:rFonts w:ascii="Times New Roman" w:hAnsi="Times New Roman"/>
          <w:sz w:val="24"/>
          <w:szCs w:val="24"/>
          <w:rtl w:val="0"/>
        </w:rPr>
        <w:t xml:space="preserve"> + HCO</w:t>
      </w:r>
      <w:r>
        <w:rPr>
          <w:rFonts w:ascii="Times New Roman" w:hAnsi="Times New Roman"/>
          <w:sz w:val="24"/>
          <w:szCs w:val="24"/>
          <w:vertAlign w:val="subscript"/>
          <w:rtl w:val="0"/>
        </w:rPr>
        <w:t>4</w:t>
      </w:r>
      <w:r>
        <w:rPr>
          <w:rFonts w:ascii="Times New Roman" w:hAnsi="Times New Roman"/>
          <w:sz w:val="24"/>
          <w:szCs w:val="24"/>
          <w:vertAlign w:val="superscript"/>
          <w:rtl w:val="0"/>
        </w:rPr>
        <w:t xml:space="preserve">-  </w:t>
      </w:r>
      <w:r>
        <w:rPr>
          <w:rFonts w:ascii="Times New Roman" w:hAnsi="Times New Roman"/>
          <w:sz w:val="24"/>
          <w:szCs w:val="24"/>
          <w:rtl w:val="0"/>
          <w:lang w:val="en-US"/>
        </w:rPr>
        <w:t>is the reaction for pathway two. After building these clusters and watching their reaction</w:t>
      </w:r>
      <w:r>
        <w:rPr>
          <w:rFonts w:ascii="Times New Roman" w:hAnsi="Times New Roman" w:hint="default"/>
          <w:sz w:val="24"/>
          <w:szCs w:val="24"/>
          <w:rtl w:val="0"/>
          <w:lang w:val="en-US"/>
        </w:rPr>
        <w:t>’</w:t>
      </w:r>
      <w:r>
        <w:rPr>
          <w:rFonts w:ascii="Times New Roman" w:hAnsi="Times New Roman"/>
          <w:sz w:val="24"/>
          <w:szCs w:val="24"/>
          <w:rtl w:val="0"/>
          <w:lang w:val="en-US"/>
        </w:rPr>
        <w:t>s pathways, we were able to calculate their enthalpy and activation energies to see which resulted in a lower activation energy, which means a faster reaction path. For pathway one we calculated the enthalpy change (</w:t>
      </w:r>
      <w:r>
        <w:rPr>
          <w:rFonts w:ascii="Times New Roman" w:hAnsi="Times New Roman" w:hint="default"/>
          <w:sz w:val="24"/>
          <w:szCs w:val="24"/>
          <w:rtl w:val="0"/>
          <w:lang w:val="en-US"/>
        </w:rPr>
        <w:t>Δ</w:t>
      </w:r>
      <w:r>
        <w:rPr>
          <w:rFonts w:ascii="Times New Roman" w:hAnsi="Times New Roman"/>
          <w:sz w:val="24"/>
          <w:szCs w:val="24"/>
          <w:rtl w:val="0"/>
          <w:lang w:val="en-US"/>
        </w:rPr>
        <w:t>H)</w:t>
      </w:r>
      <w:r>
        <w:rPr>
          <w:rFonts w:ascii="Times New Roman" w:hAnsi="Times New Roman"/>
          <w:sz w:val="24"/>
          <w:szCs w:val="24"/>
          <w:rtl w:val="0"/>
          <w:lang w:val="en-US"/>
        </w:rPr>
        <w:t xml:space="preserve"> at -0.81 kcal/ mol and the activation energy at 2.45 kcal/mol, while for pathway two the </w:t>
      </w:r>
      <w:r>
        <w:rPr>
          <w:rFonts w:ascii="Times New Roman" w:hAnsi="Times New Roman"/>
          <w:sz w:val="24"/>
          <w:szCs w:val="24"/>
          <w:rtl w:val="0"/>
          <w:lang w:val="en-US"/>
        </w:rPr>
        <w:t xml:space="preserve">enthalpy change </w:t>
      </w:r>
      <w:r>
        <w:rPr>
          <w:rFonts w:ascii="Times New Roman" w:hAnsi="Times New Roman"/>
          <w:sz w:val="24"/>
          <w:szCs w:val="24"/>
          <w:rtl w:val="0"/>
        </w:rPr>
        <w:t>(</w:t>
      </w:r>
      <w:r>
        <w:rPr>
          <w:rFonts w:ascii="Times New Roman" w:hAnsi="Times New Roman" w:hint="default"/>
          <w:sz w:val="24"/>
          <w:szCs w:val="24"/>
          <w:rtl w:val="0"/>
          <w:lang w:val="en-US"/>
        </w:rPr>
        <w:t>Δ</w:t>
      </w:r>
      <w:r>
        <w:rPr>
          <w:rFonts w:ascii="Times New Roman" w:hAnsi="Times New Roman"/>
          <w:sz w:val="24"/>
          <w:szCs w:val="24"/>
          <w:rtl w:val="0"/>
          <w:lang w:val="en-US"/>
        </w:rPr>
        <w:t>H) was much lower at -2.94 kcal/mol and the activation energy was much higher at 9.10 kcal/mol. In summary, water dissociation in molten carbonate is very easy and Hartree Fock method is fast and reliable in this study. We also found that path one would be favored by kinetics and is slightly exothermic while path two is favored more by equilibrium. Lastly, we can conclude that at the transition state the hydrogen atom from water is migrated onto the oxygen in carbonate, creating an O</w:t>
      </w:r>
      <w:r>
        <w:rPr>
          <w:rFonts w:ascii="Times New Roman" w:hAnsi="Times New Roman" w:hint="default"/>
          <w:sz w:val="24"/>
          <w:szCs w:val="24"/>
          <w:rtl w:val="0"/>
          <w:lang w:val="en-US"/>
        </w:rPr>
        <w:t>—</w:t>
      </w:r>
      <w:r>
        <w:rPr>
          <w:rFonts w:ascii="Times New Roman" w:hAnsi="Times New Roman"/>
          <w:sz w:val="24"/>
          <w:szCs w:val="24"/>
          <w:rtl w:val="0"/>
          <w:lang w:val="en-US"/>
        </w:rPr>
        <w:t>H</w:t>
      </w:r>
      <w:r>
        <w:rPr>
          <w:rFonts w:ascii="Times New Roman" w:hAnsi="Times New Roman" w:hint="default"/>
          <w:sz w:val="24"/>
          <w:szCs w:val="24"/>
          <w:rtl w:val="0"/>
          <w:lang w:val="en-US"/>
        </w:rPr>
        <w:t>—</w:t>
      </w:r>
      <w:r>
        <w:rPr>
          <w:rFonts w:ascii="Times New Roman" w:hAnsi="Times New Roman"/>
          <w:sz w:val="24"/>
          <w:szCs w:val="24"/>
          <w:rtl w:val="0"/>
          <w:lang w:val="en-US"/>
        </w:rPr>
        <w:t xml:space="preserve">O linkage to facilitate the reaction process. </w:t>
      </w:r>
      <w:r>
        <w:br w:type="textWrapping"/>
      </w:r>
      <w:r>
        <w:rPr>
          <w:rFonts w:ascii="Times New Roman" w:cs="Times New Roman" w:hAnsi="Times New Roman" w:eastAsia="Times New Roman"/>
          <w:sz w:val="24"/>
          <w:szCs w:val="24"/>
        </w:rPr>
      </w:r>
    </w:p>
    <w:sectPr>
      <w:headerReference w:type="default" r:id="rId4"/>
      <w:footerReference w:type="default" r:id="rId5"/>
      <w:pgSz w:w="12240" w:h="15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160" w:line="259"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